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SECOND WRITTEN WARNING LETTER</w:t>
      </w:r>
    </w:p>
    <w:p w:rsidR="00000000" w:rsidDel="00000000" w:rsidP="00000000" w:rsidRDefault="00000000" w:rsidRPr="00000000" w14:paraId="00000002">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serves as a Second Written Warning Letter regarding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Examples: you have been late for work on a number of occasions/you breached the company’s Social Media Policy when you made a negative public statement about a colleague/you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Previously, we met on [</w:t>
      </w:r>
      <w:r w:rsidDel="00000000" w:rsidR="00000000" w:rsidRPr="00000000">
        <w:rPr>
          <w:rFonts w:ascii="Calibri" w:cs="Calibri" w:eastAsia="Calibri" w:hAnsi="Calibri"/>
          <w:highlight w:val="yellow"/>
          <w:rtl w:val="0"/>
        </w:rPr>
        <w:t xml:space="preserve">Insert Date of Verbal Warning</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highlight w:val="yellow"/>
          <w:rtl w:val="0"/>
        </w:rPr>
        <w:t xml:space="preserve">Insert Date of First Written Warning</w:t>
      </w:r>
      <w:r w:rsidDel="00000000" w:rsidR="00000000" w:rsidRPr="00000000">
        <w:rPr>
          <w:rFonts w:ascii="Calibri" w:cs="Calibri" w:eastAsia="Calibri" w:hAnsi="Calibri"/>
          <w:highlight w:val="white"/>
          <w:rtl w:val="0"/>
        </w:rPr>
        <w:t xml:space="preserve">] to discuss this issue and determined that if it continued, the next step in the progressive discipline process would be a Second Written Warning.</w:t>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As this behaviour has continued on [</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rtl w:val="0"/>
        </w:rPr>
        <w:t xml:space="preserve">], this warning is necessary</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D">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the time period]</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0F">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next step in the discipline process will be a Final Written Warning. Please note that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skip level(s) of discipline in the event of further breaches of policy. </w:t>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A">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E">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F">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4">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5">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Helvetica Neue" w:cs="Helvetica Neue" w:eastAsia="Helvetica Neue" w:hAnsi="Helvetica Neue"/>
          <w:sz w:val="21"/>
          <w:szCs w:val="21"/>
          <w:highlight w:val="lightGray"/>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left"/>
      <w:rPr>
        <w:rFonts w:ascii="Helvetica Neue" w:cs="Helvetica Neue" w:eastAsia="Helvetica Neue" w:hAnsi="Helvetica Neue"/>
        <w:sz w:val="21"/>
        <w:szCs w:val="21"/>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1"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Nd9oJLHDv9f3i/FEupHreDDi5A==">AMUW2mX/fD++FZ0cFnPQNwXLdyYpIZTXrw+LUVlZMdwlsXp+hHoQ6SHrwQxPeaXWusRLENHPaMEZDckQW2A6bEbEc5gULO+bsUKczIRVIeiGhjS8HPLF/60=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